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8BD3" w14:textId="6BCB60FB" w:rsidR="00E6162A" w:rsidRDefault="00756073" w:rsidP="00756073">
      <w:pPr>
        <w:jc w:val="center"/>
        <w:rPr>
          <w:b/>
          <w:bCs/>
          <w:sz w:val="24"/>
          <w:szCs w:val="24"/>
        </w:rPr>
      </w:pPr>
      <w:r>
        <w:rPr>
          <w:b/>
          <w:bCs/>
          <w:sz w:val="24"/>
          <w:szCs w:val="24"/>
        </w:rPr>
        <w:t xml:space="preserve">Anxiolytics </w:t>
      </w:r>
    </w:p>
    <w:p w14:paraId="74545C90" w14:textId="17BCE3EC" w:rsidR="00756073" w:rsidRDefault="00756073" w:rsidP="009517D4">
      <w:pPr>
        <w:spacing w:line="240" w:lineRule="auto"/>
        <w:rPr>
          <w:sz w:val="24"/>
          <w:szCs w:val="24"/>
        </w:rPr>
      </w:pPr>
      <w:r>
        <w:rPr>
          <w:sz w:val="24"/>
          <w:szCs w:val="24"/>
        </w:rPr>
        <w:t>FDA advises number 1</w:t>
      </w:r>
      <w:r w:rsidRPr="00756073">
        <w:rPr>
          <w:sz w:val="24"/>
          <w:szCs w:val="24"/>
          <w:vertAlign w:val="superscript"/>
        </w:rPr>
        <w:t>st</w:t>
      </w:r>
      <w:r>
        <w:rPr>
          <w:sz w:val="24"/>
          <w:szCs w:val="24"/>
        </w:rPr>
        <w:t xml:space="preserve"> line of treatment for anxiety is SSRI</w:t>
      </w:r>
      <w:r w:rsidR="0050742B">
        <w:rPr>
          <w:sz w:val="24"/>
          <w:szCs w:val="24"/>
        </w:rPr>
        <w:t>.</w:t>
      </w:r>
    </w:p>
    <w:p w14:paraId="448090D4" w14:textId="4EEFAD99" w:rsidR="0050742B" w:rsidRDefault="0050742B" w:rsidP="009517D4">
      <w:pPr>
        <w:spacing w:line="240" w:lineRule="auto"/>
        <w:rPr>
          <w:sz w:val="24"/>
          <w:szCs w:val="24"/>
        </w:rPr>
      </w:pPr>
      <w:r w:rsidRPr="0050742B">
        <w:rPr>
          <w:sz w:val="24"/>
          <w:szCs w:val="24"/>
          <w:highlight w:val="yellow"/>
        </w:rPr>
        <w:t>Cognitive Behavioral Therapy is best treatment for anxiety.  They cannot get better if they do not work through their cause of anxiety.</w:t>
      </w:r>
    </w:p>
    <w:p w14:paraId="0FB84AB3" w14:textId="10D6455C" w:rsidR="00756073" w:rsidRPr="007466EF" w:rsidRDefault="00756073" w:rsidP="009517D4">
      <w:pPr>
        <w:spacing w:line="240" w:lineRule="auto"/>
        <w:rPr>
          <w:b/>
          <w:bCs/>
          <w:sz w:val="24"/>
          <w:szCs w:val="24"/>
        </w:rPr>
      </w:pPr>
      <w:r w:rsidRPr="007466EF">
        <w:rPr>
          <w:b/>
          <w:bCs/>
          <w:sz w:val="24"/>
          <w:szCs w:val="24"/>
        </w:rPr>
        <w:t>Benzodiazepines</w:t>
      </w:r>
      <w:r w:rsidR="00181F19" w:rsidRPr="007466EF">
        <w:rPr>
          <w:b/>
          <w:bCs/>
          <w:sz w:val="24"/>
          <w:szCs w:val="24"/>
        </w:rPr>
        <w:t>-</w:t>
      </w:r>
      <w:r w:rsidR="00181F19" w:rsidRPr="007466EF">
        <w:rPr>
          <w:b/>
          <w:bCs/>
          <w:sz w:val="24"/>
          <w:szCs w:val="24"/>
          <w:u w:val="single"/>
        </w:rPr>
        <w:t>Schedule IV drugs</w:t>
      </w:r>
      <w:proofErr w:type="gramStart"/>
      <w:r w:rsidR="00B27457" w:rsidRPr="007466EF">
        <w:rPr>
          <w:b/>
          <w:bCs/>
          <w:sz w:val="24"/>
          <w:szCs w:val="24"/>
          <w:u w:val="single"/>
        </w:rPr>
        <w:t>-  not</w:t>
      </w:r>
      <w:proofErr w:type="gramEnd"/>
      <w:r w:rsidR="00B27457" w:rsidRPr="007466EF">
        <w:rPr>
          <w:b/>
          <w:bCs/>
          <w:sz w:val="24"/>
          <w:szCs w:val="24"/>
          <w:u w:val="single"/>
        </w:rPr>
        <w:t xml:space="preserve"> a good option for those with addiction issues.</w:t>
      </w:r>
    </w:p>
    <w:p w14:paraId="1AD73EE2" w14:textId="7CDB7B44" w:rsidR="004953A2" w:rsidRDefault="004953A2" w:rsidP="009517D4">
      <w:pPr>
        <w:spacing w:line="240" w:lineRule="auto"/>
        <w:rPr>
          <w:sz w:val="24"/>
          <w:szCs w:val="24"/>
        </w:rPr>
      </w:pPr>
      <w:r w:rsidRPr="00C710EE">
        <w:rPr>
          <w:b/>
          <w:bCs/>
          <w:sz w:val="24"/>
          <w:szCs w:val="24"/>
        </w:rPr>
        <w:t>Lorazepam (Ativan)</w:t>
      </w:r>
      <w:r>
        <w:rPr>
          <w:sz w:val="24"/>
          <w:szCs w:val="24"/>
        </w:rPr>
        <w:t>- benzodiazepine (anxiolytic, anticonvulsant)</w:t>
      </w:r>
      <w:r w:rsidR="00B10D0E">
        <w:rPr>
          <w:sz w:val="24"/>
          <w:szCs w:val="24"/>
        </w:rPr>
        <w:t xml:space="preserve"> (enhances GABA)</w:t>
      </w:r>
    </w:p>
    <w:p w14:paraId="0B14D139" w14:textId="2C47B1AD" w:rsidR="003A706B" w:rsidRDefault="003A706B" w:rsidP="009517D4">
      <w:pPr>
        <w:spacing w:line="240" w:lineRule="auto"/>
        <w:rPr>
          <w:sz w:val="24"/>
          <w:szCs w:val="24"/>
        </w:rPr>
      </w:pPr>
      <w:r w:rsidRPr="003A706B">
        <w:rPr>
          <w:sz w:val="24"/>
          <w:szCs w:val="24"/>
          <w:highlight w:val="yellow"/>
        </w:rPr>
        <w:t xml:space="preserve">One size </w:t>
      </w:r>
      <w:proofErr w:type="gramStart"/>
      <w:r w:rsidRPr="003A706B">
        <w:rPr>
          <w:sz w:val="24"/>
          <w:szCs w:val="24"/>
          <w:highlight w:val="yellow"/>
        </w:rPr>
        <w:t>fits</w:t>
      </w:r>
      <w:proofErr w:type="gramEnd"/>
      <w:r w:rsidRPr="003A706B">
        <w:rPr>
          <w:sz w:val="24"/>
          <w:szCs w:val="24"/>
          <w:highlight w:val="yellow"/>
        </w:rPr>
        <w:t xml:space="preserve"> all, middle of the road half-life</w:t>
      </w:r>
      <w:r w:rsidR="00C710EE">
        <w:rPr>
          <w:sz w:val="24"/>
          <w:szCs w:val="24"/>
          <w:highlight w:val="yellow"/>
        </w:rPr>
        <w:t xml:space="preserve"> (10-20 hrs)</w:t>
      </w:r>
      <w:r w:rsidRPr="003A706B">
        <w:rPr>
          <w:sz w:val="24"/>
          <w:szCs w:val="24"/>
          <w:highlight w:val="yellow"/>
        </w:rPr>
        <w:t xml:space="preserve">, good for nocturnal anxiety, when people wake up </w:t>
      </w:r>
      <w:r w:rsidR="00C710EE">
        <w:rPr>
          <w:sz w:val="24"/>
          <w:szCs w:val="24"/>
          <w:highlight w:val="yellow"/>
        </w:rPr>
        <w:t>-</w:t>
      </w:r>
      <w:r w:rsidRPr="003A706B">
        <w:rPr>
          <w:sz w:val="24"/>
          <w:szCs w:val="24"/>
          <w:highlight w:val="yellow"/>
        </w:rPr>
        <w:t>in the middle of the night, OFF LABEL is for chronic insomnia.</w:t>
      </w:r>
    </w:p>
    <w:p w14:paraId="30B9CD6D" w14:textId="5059C149" w:rsidR="004953A2" w:rsidRDefault="004953A2" w:rsidP="009517D4">
      <w:pPr>
        <w:spacing w:line="240" w:lineRule="auto"/>
        <w:rPr>
          <w:sz w:val="24"/>
          <w:szCs w:val="24"/>
        </w:rPr>
      </w:pPr>
      <w:r>
        <w:rPr>
          <w:sz w:val="24"/>
          <w:szCs w:val="24"/>
        </w:rPr>
        <w:t>FDA approved for anxiety, anxiety associated with depressive symptoms, initial treatment of epilepsy (injection), preanesthetic (injection)</w:t>
      </w:r>
    </w:p>
    <w:p w14:paraId="1E58F6A5" w14:textId="734D1C6C" w:rsidR="004953A2" w:rsidRDefault="004953A2" w:rsidP="009517D4">
      <w:pPr>
        <w:spacing w:line="240" w:lineRule="auto"/>
        <w:rPr>
          <w:sz w:val="24"/>
          <w:szCs w:val="24"/>
        </w:rPr>
      </w:pPr>
      <w:r>
        <w:rPr>
          <w:sz w:val="24"/>
          <w:szCs w:val="24"/>
        </w:rPr>
        <w:t>Off label: insomnia, muscle spasm, alcohol withdrawal psychosis, headache, panic disorder, acute mania, acute psychosis, delirium, catatonia (state of immobility and stupor)</w:t>
      </w:r>
    </w:p>
    <w:p w14:paraId="70484CF9" w14:textId="07C859C2" w:rsidR="00B10D0E" w:rsidRDefault="00B10D0E" w:rsidP="009517D4">
      <w:pPr>
        <w:spacing w:line="240" w:lineRule="auto"/>
        <w:rPr>
          <w:sz w:val="24"/>
          <w:szCs w:val="24"/>
        </w:rPr>
      </w:pPr>
      <w:r>
        <w:rPr>
          <w:sz w:val="24"/>
          <w:szCs w:val="24"/>
        </w:rPr>
        <w:t>Dosing: Tablet 0.5 mg, 1 mg, 2 mg.  Liquid 2 mg/mL.  Injection 2 mg/mL, 4 mg/mL.</w:t>
      </w:r>
    </w:p>
    <w:p w14:paraId="43268946" w14:textId="6A85C4FF" w:rsidR="004953A2" w:rsidRDefault="00B10D0E" w:rsidP="009517D4">
      <w:pPr>
        <w:spacing w:line="240" w:lineRule="auto"/>
        <w:rPr>
          <w:sz w:val="24"/>
          <w:szCs w:val="24"/>
        </w:rPr>
      </w:pPr>
      <w:r>
        <w:rPr>
          <w:sz w:val="24"/>
          <w:szCs w:val="24"/>
        </w:rPr>
        <w:t xml:space="preserve">Side Effects: </w:t>
      </w:r>
      <w:r w:rsidR="003A706B">
        <w:rPr>
          <w:sz w:val="24"/>
          <w:szCs w:val="24"/>
        </w:rPr>
        <w:t>sedation, fatigue, depression, dizziness, slurred speech, rare hallucinations, respiratory depression when taken with a CNS depressant in overdose, rare hepatic dysfunction</w:t>
      </w:r>
      <w:r w:rsidR="00C710EE">
        <w:rPr>
          <w:sz w:val="24"/>
          <w:szCs w:val="24"/>
        </w:rPr>
        <w:t>.</w:t>
      </w:r>
    </w:p>
    <w:p w14:paraId="28E35AA8" w14:textId="77777777" w:rsidR="00A165A1" w:rsidRDefault="00A165A1" w:rsidP="004953A2">
      <w:pPr>
        <w:spacing w:line="240" w:lineRule="auto"/>
        <w:rPr>
          <w:sz w:val="24"/>
          <w:szCs w:val="24"/>
        </w:rPr>
      </w:pPr>
    </w:p>
    <w:p w14:paraId="2C88A336" w14:textId="38AE472C" w:rsidR="00C710EE" w:rsidRDefault="00C710EE" w:rsidP="004953A2">
      <w:pPr>
        <w:spacing w:line="240" w:lineRule="auto"/>
        <w:rPr>
          <w:sz w:val="24"/>
          <w:szCs w:val="24"/>
        </w:rPr>
      </w:pPr>
      <w:r>
        <w:rPr>
          <w:b/>
          <w:bCs/>
          <w:sz w:val="24"/>
          <w:szCs w:val="24"/>
        </w:rPr>
        <w:t>Alprazolam (Xanax)-</w:t>
      </w:r>
      <w:r>
        <w:rPr>
          <w:sz w:val="24"/>
          <w:szCs w:val="24"/>
        </w:rPr>
        <w:t>benzodiazepine (anxiolytic)</w:t>
      </w:r>
      <w:r w:rsidR="00181F19">
        <w:rPr>
          <w:sz w:val="24"/>
          <w:szCs w:val="24"/>
        </w:rPr>
        <w:t xml:space="preserve"> (enhances GABA)</w:t>
      </w:r>
    </w:p>
    <w:p w14:paraId="3E7D9667" w14:textId="7A56EBCA" w:rsidR="00C710EE" w:rsidRDefault="00C710EE" w:rsidP="004953A2">
      <w:pPr>
        <w:spacing w:line="240" w:lineRule="auto"/>
        <w:rPr>
          <w:sz w:val="24"/>
          <w:szCs w:val="24"/>
        </w:rPr>
      </w:pPr>
      <w:r w:rsidRPr="00181F19">
        <w:rPr>
          <w:sz w:val="24"/>
          <w:szCs w:val="24"/>
          <w:highlight w:val="yellow"/>
        </w:rPr>
        <w:t xml:space="preserve">Shortest half-life (12-15 </w:t>
      </w:r>
      <w:r w:rsidRPr="00CC4AC8">
        <w:rPr>
          <w:sz w:val="24"/>
          <w:szCs w:val="24"/>
          <w:highlight w:val="yellow"/>
        </w:rPr>
        <w:t>hrs)</w:t>
      </w:r>
      <w:r w:rsidR="00CC4AC8" w:rsidRPr="00CC4AC8">
        <w:rPr>
          <w:sz w:val="24"/>
          <w:szCs w:val="24"/>
          <w:highlight w:val="yellow"/>
        </w:rPr>
        <w:t xml:space="preserve"> risk of dependence</w:t>
      </w:r>
    </w:p>
    <w:p w14:paraId="753DFF1C" w14:textId="25E3E9A6" w:rsidR="00181F19" w:rsidRDefault="00181F19" w:rsidP="004953A2">
      <w:pPr>
        <w:spacing w:line="240" w:lineRule="auto"/>
        <w:rPr>
          <w:sz w:val="24"/>
          <w:szCs w:val="24"/>
        </w:rPr>
      </w:pPr>
      <w:r>
        <w:rPr>
          <w:sz w:val="24"/>
          <w:szCs w:val="24"/>
        </w:rPr>
        <w:t>FDA approved for GAD, anxiety disorder</w:t>
      </w:r>
      <w:r w:rsidR="00A165A1">
        <w:rPr>
          <w:sz w:val="24"/>
          <w:szCs w:val="24"/>
        </w:rPr>
        <w:t>, panic disorder</w:t>
      </w:r>
    </w:p>
    <w:p w14:paraId="3387485E" w14:textId="7226A53C" w:rsidR="00A165A1" w:rsidRDefault="00A165A1" w:rsidP="004953A2">
      <w:pPr>
        <w:spacing w:line="240" w:lineRule="auto"/>
        <w:rPr>
          <w:sz w:val="24"/>
          <w:szCs w:val="24"/>
        </w:rPr>
      </w:pPr>
      <w:r>
        <w:rPr>
          <w:sz w:val="24"/>
          <w:szCs w:val="24"/>
        </w:rPr>
        <w:t>Off label: anxiety associated with depression, premenstrual dysphoric disorder, IBS, acute mania, acute psychosis, catatonia</w:t>
      </w:r>
    </w:p>
    <w:p w14:paraId="4F9DDBD1" w14:textId="28E79E01" w:rsidR="00A165A1" w:rsidRDefault="00A165A1" w:rsidP="004953A2">
      <w:pPr>
        <w:spacing w:line="240" w:lineRule="auto"/>
        <w:rPr>
          <w:sz w:val="24"/>
          <w:szCs w:val="24"/>
        </w:rPr>
      </w:pPr>
      <w:r>
        <w:rPr>
          <w:sz w:val="24"/>
          <w:szCs w:val="24"/>
        </w:rPr>
        <w:t>Dosing: tablet 0.25 mg, 0.5 mg, 1 mg, 2 mg.  Solution 1 mg/mL. Extended-release tablet 0.5 mg, 1 mg, 2 mg, 3 mg.</w:t>
      </w:r>
    </w:p>
    <w:p w14:paraId="58A55185" w14:textId="729B72CF" w:rsidR="00A165A1" w:rsidRDefault="00A165A1" w:rsidP="004953A2">
      <w:pPr>
        <w:spacing w:line="240" w:lineRule="auto"/>
        <w:rPr>
          <w:sz w:val="24"/>
          <w:szCs w:val="24"/>
        </w:rPr>
      </w:pPr>
      <w:r>
        <w:rPr>
          <w:sz w:val="24"/>
          <w:szCs w:val="24"/>
        </w:rPr>
        <w:lastRenderedPageBreak/>
        <w:t>Side Effects: sedation, fatigue, depression, dizziness, slurred speech, forgetfulness, confusion, dry mouth</w:t>
      </w:r>
      <w:r w:rsidR="00CC4AC8">
        <w:rPr>
          <w:sz w:val="24"/>
          <w:szCs w:val="24"/>
        </w:rPr>
        <w:t>, respiratory depression when taken with CNS depressants (opioids) in overdose, rare liver, and kidney dysfunction.</w:t>
      </w:r>
    </w:p>
    <w:p w14:paraId="4E766687" w14:textId="77777777" w:rsidR="007466EF" w:rsidRPr="007466EF" w:rsidRDefault="007466EF" w:rsidP="007466EF">
      <w:pPr>
        <w:spacing w:line="240" w:lineRule="auto"/>
        <w:rPr>
          <w:rFonts w:ascii="Roboto" w:hAnsi="Roboto"/>
          <w:color w:val="666666"/>
          <w:sz w:val="24"/>
          <w:szCs w:val="24"/>
          <w:shd w:val="clear" w:color="auto" w:fill="FFFFFF"/>
        </w:rPr>
      </w:pPr>
      <w:r w:rsidRPr="007466EF">
        <w:rPr>
          <w:rFonts w:ascii="Roboto" w:hAnsi="Roboto"/>
          <w:b/>
          <w:bCs/>
          <w:color w:val="666666"/>
          <w:sz w:val="24"/>
          <w:szCs w:val="24"/>
          <w:shd w:val="clear" w:color="auto" w:fill="FFFFFF"/>
        </w:rPr>
        <w:t>Diazepam (Valium)</w:t>
      </w:r>
      <w:r w:rsidRPr="007466EF">
        <w:rPr>
          <w:rFonts w:ascii="Roboto" w:hAnsi="Roboto"/>
          <w:color w:val="666666"/>
          <w:sz w:val="24"/>
          <w:szCs w:val="24"/>
          <w:shd w:val="clear" w:color="auto" w:fill="FFFFFF"/>
        </w:rPr>
        <w:t>-benzodiazepine (anxiolytic, muscle relaxant, anticonvulsant) (enhances GABA)</w:t>
      </w:r>
    </w:p>
    <w:p w14:paraId="2F483325" w14:textId="77777777" w:rsidR="007466EF" w:rsidRPr="007466EF" w:rsidRDefault="007466EF" w:rsidP="007466EF">
      <w:pPr>
        <w:spacing w:line="240" w:lineRule="auto"/>
        <w:rPr>
          <w:rFonts w:ascii="Roboto" w:hAnsi="Roboto"/>
          <w:color w:val="666666"/>
          <w:sz w:val="24"/>
          <w:szCs w:val="24"/>
          <w:shd w:val="clear" w:color="auto" w:fill="FFFFFF"/>
        </w:rPr>
      </w:pPr>
      <w:r w:rsidRPr="007466EF">
        <w:rPr>
          <w:rFonts w:ascii="Roboto" w:hAnsi="Roboto"/>
          <w:color w:val="666666"/>
          <w:sz w:val="24"/>
          <w:szCs w:val="24"/>
          <w:highlight w:val="yellow"/>
          <w:shd w:val="clear" w:color="auto" w:fill="FFFFFF"/>
        </w:rPr>
        <w:t>Good for elderly, contractures, muscle spasms, alcohol, or drug withdrawal, use for scope procedures, longest half-life of all benzodiazepines</w:t>
      </w:r>
      <w:r w:rsidRPr="007466EF">
        <w:rPr>
          <w:rFonts w:ascii="Roboto" w:hAnsi="Roboto"/>
          <w:color w:val="666666"/>
          <w:sz w:val="24"/>
          <w:szCs w:val="24"/>
          <w:shd w:val="clear" w:color="auto" w:fill="FFFFFF"/>
        </w:rPr>
        <w:t xml:space="preserve"> </w:t>
      </w:r>
    </w:p>
    <w:p w14:paraId="7FDECDB5" w14:textId="77777777" w:rsidR="007466EF" w:rsidRPr="007466EF" w:rsidRDefault="007466EF" w:rsidP="007466EF">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FDA approved for anxiety disorder, acute agitation, tremor, alcohol withdrawal, skeletal muscle spasm, stiff-person syndrome, pre-operative anxiety, convulsive disorder</w:t>
      </w:r>
    </w:p>
    <w:p w14:paraId="21868C98" w14:textId="77777777" w:rsidR="007466EF" w:rsidRPr="007466EF" w:rsidRDefault="007466EF" w:rsidP="007466EF">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Off Label use for insomnia and catatonia</w:t>
      </w:r>
    </w:p>
    <w:p w14:paraId="41CC762A" w14:textId="77777777" w:rsidR="007466EF" w:rsidRPr="007466EF" w:rsidRDefault="007466EF" w:rsidP="007466EF">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Dosing: Tablet 2 mg, 5 mg, 10 mg.  Nasal 5 mg spray, 7.5 mg spray, 20 mg spray.  Concentrate 5 mg/mL.  Solution 5 mg/ mL.  Injection vial 5 mg/mL, 10 mg/2 mL, 20 mg/4 mL.  Rectal gel 2.5mg/0.5mL, 10 mg/2 mL, 20 mg/4 mL.</w:t>
      </w:r>
    </w:p>
    <w:p w14:paraId="509064C3" w14:textId="6FC0405E" w:rsidR="007466EF" w:rsidRPr="007466EF" w:rsidRDefault="007466EF" w:rsidP="004953A2">
      <w:pPr>
        <w:spacing w:line="240" w:lineRule="auto"/>
        <w:rPr>
          <w:sz w:val="24"/>
          <w:szCs w:val="24"/>
        </w:rPr>
      </w:pPr>
      <w:r w:rsidRPr="007466EF">
        <w:rPr>
          <w:rFonts w:ascii="Roboto" w:hAnsi="Roboto"/>
          <w:color w:val="666666"/>
          <w:sz w:val="24"/>
          <w:szCs w:val="24"/>
          <w:shd w:val="clear" w:color="auto" w:fill="FFFFFF"/>
        </w:rPr>
        <w:t>Side Effects:  sedation, fatigue, depression, dizziness, slurred speech, forgetfulness, confusion, rare hypotension.</w:t>
      </w:r>
    </w:p>
    <w:p w14:paraId="5A8D29D1" w14:textId="1CD93BC0" w:rsidR="00CC4AC8" w:rsidRPr="007466EF" w:rsidRDefault="0064712B" w:rsidP="004953A2">
      <w:pPr>
        <w:spacing w:line="240" w:lineRule="auto"/>
        <w:rPr>
          <w:sz w:val="24"/>
          <w:szCs w:val="24"/>
        </w:rPr>
      </w:pPr>
      <w:r w:rsidRPr="007466EF">
        <w:rPr>
          <w:b/>
          <w:bCs/>
          <w:sz w:val="24"/>
          <w:szCs w:val="24"/>
        </w:rPr>
        <w:t>Clonazepam (Klonopin)-</w:t>
      </w:r>
      <w:r w:rsidR="00DF5FF7" w:rsidRPr="007466EF">
        <w:rPr>
          <w:sz w:val="24"/>
          <w:szCs w:val="24"/>
        </w:rPr>
        <w:t xml:space="preserve"> benzodiazepine (anxiolytic, anticonvulsant) (enhances GABA)</w:t>
      </w:r>
    </w:p>
    <w:p w14:paraId="54D5FF9A" w14:textId="67C5A025" w:rsidR="00DF5FF7" w:rsidRPr="007466EF" w:rsidRDefault="00DF5FF7" w:rsidP="004953A2">
      <w:pPr>
        <w:spacing w:line="240" w:lineRule="auto"/>
        <w:rPr>
          <w:sz w:val="24"/>
          <w:szCs w:val="24"/>
        </w:rPr>
      </w:pPr>
      <w:r w:rsidRPr="007466EF">
        <w:rPr>
          <w:sz w:val="24"/>
          <w:szCs w:val="24"/>
          <w:highlight w:val="yellow"/>
        </w:rPr>
        <w:t>Use for angry and anxious people, works for anxiety with tremors, REM sleep disorders, tardive dyskinesia, longer half-life than alprazolam but shorter than diazepam</w:t>
      </w:r>
      <w:r w:rsidR="00CF675E" w:rsidRPr="007466EF">
        <w:rPr>
          <w:sz w:val="24"/>
          <w:szCs w:val="24"/>
          <w:highlight w:val="yellow"/>
        </w:rPr>
        <w:t>, drops BP, causes falls.</w:t>
      </w:r>
    </w:p>
    <w:p w14:paraId="239D9BD6" w14:textId="2E16ACF7" w:rsidR="00CF675E" w:rsidRPr="007466EF" w:rsidRDefault="00CF675E" w:rsidP="004953A2">
      <w:pPr>
        <w:spacing w:line="240" w:lineRule="auto"/>
        <w:rPr>
          <w:rFonts w:ascii="Roboto" w:hAnsi="Roboto"/>
          <w:color w:val="666666"/>
          <w:sz w:val="24"/>
          <w:szCs w:val="24"/>
          <w:shd w:val="clear" w:color="auto" w:fill="FFFFFF"/>
        </w:rPr>
      </w:pPr>
      <w:r w:rsidRPr="007466EF">
        <w:rPr>
          <w:sz w:val="24"/>
          <w:szCs w:val="24"/>
        </w:rPr>
        <w:t>FDA approved for panic disorder, akinetic seizure, myoclonic seizure, absence seizure Lennox-Gastaut syndrome (</w:t>
      </w:r>
      <w:r w:rsidRPr="007466EF">
        <w:rPr>
          <w:rFonts w:ascii="Roboto" w:hAnsi="Roboto"/>
          <w:color w:val="666666"/>
          <w:sz w:val="24"/>
          <w:szCs w:val="24"/>
          <w:shd w:val="clear" w:color="auto" w:fill="FFFFFF"/>
        </w:rPr>
        <w:t>Lennox–Gastaut syndrome (LGS) is a complex, rare, and severe childhood-onset epilepsy. It is characterized by multiple and concurrent seizure types, cognitive dysfunction, and slow spike waves on electroencephalogram (EEG). Typically, it presents in children aged 3–5 years and can persist into adulthood.</w:t>
      </w:r>
      <w:r w:rsidRPr="007466EF">
        <w:rPr>
          <w:rFonts w:ascii="Roboto" w:hAnsi="Roboto"/>
          <w:color w:val="666666"/>
          <w:sz w:val="24"/>
          <w:szCs w:val="24"/>
          <w:shd w:val="clear" w:color="auto" w:fill="FFFFFF"/>
        </w:rPr>
        <w:t>)</w:t>
      </w:r>
    </w:p>
    <w:p w14:paraId="36F6596C" w14:textId="621306FF" w:rsidR="00CF675E" w:rsidRPr="007466EF" w:rsidRDefault="00CF675E" w:rsidP="004953A2">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Off Label: atonic seizures, acute mania, acute psychosis, insomnia, catatonia</w:t>
      </w:r>
    </w:p>
    <w:p w14:paraId="742B7457" w14:textId="17A1516E" w:rsidR="00CF675E" w:rsidRPr="007466EF" w:rsidRDefault="00CF675E" w:rsidP="004953A2">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 xml:space="preserve">Dosing: </w:t>
      </w:r>
      <w:r w:rsidR="001C27C6" w:rsidRPr="007466EF">
        <w:rPr>
          <w:rFonts w:ascii="Roboto" w:hAnsi="Roboto"/>
          <w:color w:val="666666"/>
          <w:sz w:val="24"/>
          <w:szCs w:val="24"/>
          <w:shd w:val="clear" w:color="auto" w:fill="FFFFFF"/>
        </w:rPr>
        <w:t>Tablet 0.5 mg, 1 mg, 2 mg.  Disintegrating tablet 0.125 mg, 0.25 mg 0.5 mg, 1 mg, 2 mg</w:t>
      </w:r>
    </w:p>
    <w:p w14:paraId="26C8880E" w14:textId="01B99F0E" w:rsidR="009517D4" w:rsidRDefault="001C27C6" w:rsidP="004953A2">
      <w:pPr>
        <w:spacing w:line="240" w:lineRule="auto"/>
        <w:rPr>
          <w:rFonts w:ascii="Roboto" w:hAnsi="Roboto"/>
          <w:color w:val="666666"/>
          <w:sz w:val="24"/>
          <w:szCs w:val="24"/>
          <w:shd w:val="clear" w:color="auto" w:fill="FFFFFF"/>
        </w:rPr>
      </w:pPr>
      <w:r w:rsidRPr="007466EF">
        <w:rPr>
          <w:rFonts w:ascii="Roboto" w:hAnsi="Roboto"/>
          <w:color w:val="666666"/>
          <w:sz w:val="24"/>
          <w:szCs w:val="24"/>
          <w:shd w:val="clear" w:color="auto" w:fill="FFFFFF"/>
        </w:rPr>
        <w:t xml:space="preserve">Side Effects:  sedation, fatigue, </w:t>
      </w:r>
      <w:r w:rsidR="00164279" w:rsidRPr="007466EF">
        <w:rPr>
          <w:rFonts w:ascii="Roboto" w:hAnsi="Roboto"/>
          <w:color w:val="666666"/>
          <w:sz w:val="24"/>
          <w:szCs w:val="24"/>
          <w:shd w:val="clear" w:color="auto" w:fill="FFFFFF"/>
        </w:rPr>
        <w:t>depression, dizziness, slurred speech, weakness forgetfulness, confusion, rare hypotension, dry mouth.</w:t>
      </w:r>
    </w:p>
    <w:p w14:paraId="49178033" w14:textId="259E1380" w:rsidR="007466EF" w:rsidRDefault="007466EF" w:rsidP="004953A2">
      <w:pPr>
        <w:spacing w:line="240" w:lineRule="auto"/>
        <w:rPr>
          <w:rFonts w:ascii="Roboto" w:hAnsi="Roboto"/>
          <w:color w:val="666666"/>
          <w:sz w:val="24"/>
          <w:szCs w:val="24"/>
          <w:shd w:val="clear" w:color="auto" w:fill="FFFFFF"/>
        </w:rPr>
      </w:pPr>
    </w:p>
    <w:p w14:paraId="70F7F90C" w14:textId="77777777" w:rsidR="007466EF" w:rsidRDefault="007466EF" w:rsidP="004953A2">
      <w:pPr>
        <w:spacing w:line="240" w:lineRule="auto"/>
        <w:rPr>
          <w:rFonts w:ascii="Roboto" w:hAnsi="Roboto"/>
          <w:b/>
          <w:bCs/>
          <w:color w:val="666666"/>
          <w:sz w:val="21"/>
          <w:szCs w:val="21"/>
          <w:shd w:val="clear" w:color="auto" w:fill="FFFFFF"/>
        </w:rPr>
      </w:pPr>
    </w:p>
    <w:p w14:paraId="33A4B822" w14:textId="1ED1C825" w:rsidR="00C627F1" w:rsidRPr="007466EF" w:rsidRDefault="00C627F1" w:rsidP="004953A2">
      <w:pPr>
        <w:spacing w:line="240" w:lineRule="auto"/>
        <w:rPr>
          <w:rFonts w:ascii="Roboto" w:hAnsi="Roboto"/>
          <w:b/>
          <w:bCs/>
          <w:color w:val="666666"/>
          <w:sz w:val="21"/>
          <w:szCs w:val="21"/>
          <w:shd w:val="clear" w:color="auto" w:fill="FFFFFF"/>
        </w:rPr>
      </w:pPr>
      <w:r w:rsidRPr="007466EF">
        <w:rPr>
          <w:rFonts w:ascii="Roboto" w:hAnsi="Roboto"/>
          <w:b/>
          <w:bCs/>
          <w:color w:val="666666"/>
          <w:sz w:val="21"/>
          <w:szCs w:val="21"/>
          <w:shd w:val="clear" w:color="auto" w:fill="FFFFFF"/>
        </w:rPr>
        <w:lastRenderedPageBreak/>
        <w:t>Burning Mouth Syndrome</w:t>
      </w:r>
    </w:p>
    <w:p w14:paraId="4DFC7A3E" w14:textId="77777777" w:rsidR="0037206F" w:rsidRPr="00065E5B" w:rsidRDefault="0037206F" w:rsidP="0037206F">
      <w:pPr>
        <w:pStyle w:val="NormalWeb"/>
        <w:shd w:val="clear" w:color="auto" w:fill="FFFFFF"/>
        <w:spacing w:before="0" w:beforeAutospacing="0" w:after="360" w:afterAutospacing="0" w:line="360" w:lineRule="atLeast"/>
        <w:rPr>
          <w:rFonts w:ascii="Helvetica" w:hAnsi="Helvetica"/>
          <w:color w:val="111111"/>
          <w:sz w:val="22"/>
          <w:szCs w:val="22"/>
        </w:rPr>
      </w:pPr>
      <w:r w:rsidRPr="00065E5B">
        <w:rPr>
          <w:rFonts w:ascii="Helvetica" w:hAnsi="Helvetica"/>
          <w:color w:val="111111"/>
          <w:sz w:val="22"/>
          <w:szCs w:val="22"/>
        </w:rPr>
        <w:t>Burning mouth syndrome is the medical term for ongoing (chronic) or recurrent burning in the mouth without an obvious cause. This discomfort may affect the tongue, gums, lips, inside of your cheeks, roof of your mouth (palate) or widespread areas of your whole mouth. The burning sensation can be severe, as if you scalded your mouth.</w:t>
      </w:r>
    </w:p>
    <w:p w14:paraId="69EA7DDA" w14:textId="48A9FA45" w:rsidR="0037206F" w:rsidRPr="00065E5B" w:rsidRDefault="0037206F" w:rsidP="0037206F">
      <w:pPr>
        <w:pStyle w:val="NormalWeb"/>
        <w:shd w:val="clear" w:color="auto" w:fill="FFFFFF"/>
        <w:spacing w:before="0" w:beforeAutospacing="0" w:after="360" w:afterAutospacing="0" w:line="360" w:lineRule="atLeast"/>
        <w:rPr>
          <w:rFonts w:ascii="Helvetica" w:hAnsi="Helvetica"/>
          <w:color w:val="111111"/>
          <w:sz w:val="22"/>
          <w:szCs w:val="22"/>
        </w:rPr>
      </w:pPr>
      <w:r w:rsidRPr="00065E5B">
        <w:rPr>
          <w:rFonts w:ascii="Helvetica" w:hAnsi="Helvetica"/>
          <w:color w:val="111111"/>
          <w:sz w:val="22"/>
          <w:szCs w:val="22"/>
        </w:rPr>
        <w:t>Burning mouth syndrome usually appears suddenly, but it can develop gradually over time. Unfortunately, the specific cause often can't be determined. Although that makes treatment more challenging, working closely with your health care team can help you reduce symptoms.</w:t>
      </w:r>
    </w:p>
    <w:p w14:paraId="3BF305E7" w14:textId="54C3F824" w:rsidR="0037206F" w:rsidRPr="00065E5B" w:rsidRDefault="0037206F" w:rsidP="0037206F">
      <w:pPr>
        <w:pStyle w:val="NormalWeb"/>
        <w:shd w:val="clear" w:color="auto" w:fill="FFFFFF"/>
        <w:spacing w:before="0" w:beforeAutospacing="0" w:after="360" w:afterAutospacing="0" w:line="360" w:lineRule="atLeast"/>
        <w:rPr>
          <w:rFonts w:ascii="Helvetica" w:hAnsi="Helvetica"/>
          <w:color w:val="111111"/>
          <w:sz w:val="22"/>
          <w:szCs w:val="22"/>
          <w:shd w:val="clear" w:color="auto" w:fill="FFFFFF"/>
        </w:rPr>
      </w:pPr>
      <w:r w:rsidRPr="00065E5B">
        <w:rPr>
          <w:rFonts w:ascii="Helvetica" w:hAnsi="Helvetica"/>
          <w:color w:val="111111"/>
          <w:sz w:val="22"/>
          <w:szCs w:val="22"/>
          <w:shd w:val="clear" w:color="auto" w:fill="FFFFFF"/>
        </w:rPr>
        <w:t>There's no one test that can determine if you have burning mouth syndrome. Instead, your doctor will try to rule out other problems before diagnosing burning mouth syndrome.</w:t>
      </w:r>
    </w:p>
    <w:p w14:paraId="704673BA" w14:textId="77777777" w:rsidR="0037206F" w:rsidRPr="0037206F" w:rsidRDefault="0037206F" w:rsidP="0037206F">
      <w:pPr>
        <w:shd w:val="clear" w:color="auto" w:fill="FFFFFF"/>
        <w:spacing w:before="0" w:beforeAutospacing="0" w:after="360" w:afterAutospacing="0" w:line="360" w:lineRule="atLeast"/>
        <w:rPr>
          <w:rFonts w:ascii="Helvetica" w:eastAsia="Times New Roman" w:hAnsi="Helvetica" w:cs="Times New Roman"/>
          <w:color w:val="111111"/>
        </w:rPr>
      </w:pPr>
      <w:r w:rsidRPr="0037206F">
        <w:rPr>
          <w:rFonts w:ascii="Helvetica" w:eastAsia="Times New Roman" w:hAnsi="Helvetica" w:cs="Times New Roman"/>
          <w:color w:val="111111"/>
        </w:rPr>
        <w:t>Treatment options may include:</w:t>
      </w:r>
    </w:p>
    <w:p w14:paraId="59D29889"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Saliva replacement products</w:t>
      </w:r>
    </w:p>
    <w:p w14:paraId="7F32A43F"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Specific oral rinses or lidocaine</w:t>
      </w:r>
    </w:p>
    <w:p w14:paraId="54D3F4FA"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Capsaicin, a pain reliever that comes from chili peppers</w:t>
      </w:r>
    </w:p>
    <w:p w14:paraId="626A10D5"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highlight w:val="yellow"/>
        </w:rPr>
      </w:pPr>
      <w:r w:rsidRPr="0037206F">
        <w:rPr>
          <w:rFonts w:ascii="Helvetica" w:eastAsia="Times New Roman" w:hAnsi="Helvetica" w:cs="Times New Roman"/>
          <w:color w:val="111111"/>
          <w:highlight w:val="yellow"/>
        </w:rPr>
        <w:t>An anticonvulsant medication called clonazepam (Klonopin)</w:t>
      </w:r>
    </w:p>
    <w:p w14:paraId="1A149871"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Certain antidepressants</w:t>
      </w:r>
    </w:p>
    <w:p w14:paraId="2328F175"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Medications that block nerve pain</w:t>
      </w:r>
    </w:p>
    <w:p w14:paraId="74C3D723" w14:textId="77777777" w:rsidR="0037206F" w:rsidRPr="0037206F" w:rsidRDefault="0037206F" w:rsidP="0037206F">
      <w:pPr>
        <w:numPr>
          <w:ilvl w:val="0"/>
          <w:numId w:val="1"/>
        </w:numPr>
        <w:shd w:val="clear" w:color="auto" w:fill="FFFFFF"/>
        <w:spacing w:after="180" w:afterAutospacing="0" w:line="336" w:lineRule="atLeast"/>
        <w:ind w:left="1260"/>
        <w:rPr>
          <w:rFonts w:ascii="Helvetica" w:eastAsia="Times New Roman" w:hAnsi="Helvetica" w:cs="Times New Roman"/>
          <w:color w:val="111111"/>
        </w:rPr>
      </w:pPr>
      <w:r w:rsidRPr="0037206F">
        <w:rPr>
          <w:rFonts w:ascii="Helvetica" w:eastAsia="Times New Roman" w:hAnsi="Helvetica" w:cs="Times New Roman"/>
          <w:color w:val="111111"/>
        </w:rPr>
        <w:t>Cognitive behavioral therapy to develop strategies to address anxiety and depression and cope with chronic pain</w:t>
      </w:r>
    </w:p>
    <w:p w14:paraId="7D1353C4" w14:textId="2EF1B3D4" w:rsidR="0037206F" w:rsidRDefault="0037206F" w:rsidP="0037206F">
      <w:pPr>
        <w:pStyle w:val="NormalWeb"/>
        <w:shd w:val="clear" w:color="auto" w:fill="FFFFFF"/>
        <w:spacing w:before="0" w:beforeAutospacing="0" w:after="360" w:afterAutospacing="0" w:line="360" w:lineRule="atLeast"/>
        <w:rPr>
          <w:rFonts w:ascii="Helvetica" w:hAnsi="Helvetica"/>
          <w:color w:val="111111"/>
          <w:sz w:val="22"/>
          <w:szCs w:val="22"/>
        </w:rPr>
      </w:pPr>
    </w:p>
    <w:p w14:paraId="098C9945" w14:textId="71E0A9F4" w:rsidR="00B56BF7" w:rsidRDefault="00B56BF7" w:rsidP="0037206F">
      <w:pPr>
        <w:pStyle w:val="NormalWeb"/>
        <w:shd w:val="clear" w:color="auto" w:fill="FFFFFF"/>
        <w:spacing w:before="0" w:beforeAutospacing="0" w:after="360" w:afterAutospacing="0" w:line="360" w:lineRule="atLeast"/>
        <w:rPr>
          <w:rFonts w:ascii="Helvetica" w:hAnsi="Helvetica"/>
          <w:color w:val="111111"/>
          <w:sz w:val="22"/>
          <w:szCs w:val="22"/>
        </w:rPr>
      </w:pPr>
    </w:p>
    <w:p w14:paraId="52E4F731" w14:textId="5EC38880" w:rsidR="00B56BF7" w:rsidRDefault="00B56BF7" w:rsidP="0037206F">
      <w:pPr>
        <w:pStyle w:val="NormalWeb"/>
        <w:shd w:val="clear" w:color="auto" w:fill="FFFFFF"/>
        <w:spacing w:before="0" w:beforeAutospacing="0" w:after="360" w:afterAutospacing="0" w:line="360" w:lineRule="atLeast"/>
        <w:rPr>
          <w:rFonts w:ascii="Helvetica" w:hAnsi="Helvetica"/>
          <w:color w:val="111111"/>
          <w:sz w:val="22"/>
          <w:szCs w:val="22"/>
        </w:rPr>
      </w:pPr>
    </w:p>
    <w:p w14:paraId="0E588339" w14:textId="74AEEAAF" w:rsidR="007466EF" w:rsidRDefault="007466EF" w:rsidP="0037206F">
      <w:pPr>
        <w:pStyle w:val="NormalWeb"/>
        <w:shd w:val="clear" w:color="auto" w:fill="FFFFFF"/>
        <w:spacing w:before="0" w:beforeAutospacing="0" w:after="360" w:afterAutospacing="0" w:line="360" w:lineRule="atLeast"/>
        <w:rPr>
          <w:rFonts w:ascii="Helvetica" w:hAnsi="Helvetica"/>
          <w:color w:val="111111"/>
          <w:sz w:val="22"/>
          <w:szCs w:val="22"/>
        </w:rPr>
      </w:pPr>
    </w:p>
    <w:p w14:paraId="76CD9C89" w14:textId="59B79DBC" w:rsidR="00C627F1" w:rsidRPr="007466EF" w:rsidRDefault="00065E5B" w:rsidP="004953A2">
      <w:pPr>
        <w:spacing w:line="240" w:lineRule="auto"/>
        <w:rPr>
          <w:sz w:val="24"/>
          <w:szCs w:val="24"/>
        </w:rPr>
      </w:pPr>
      <w:r w:rsidRPr="007466EF">
        <w:rPr>
          <w:b/>
          <w:bCs/>
          <w:sz w:val="24"/>
          <w:szCs w:val="24"/>
        </w:rPr>
        <w:lastRenderedPageBreak/>
        <w:t>Buspirone (Buspar)-</w:t>
      </w:r>
      <w:r w:rsidRPr="007466EF">
        <w:rPr>
          <w:sz w:val="24"/>
          <w:szCs w:val="24"/>
        </w:rPr>
        <w:t xml:space="preserve"> anxiolytic (serotonin partial agonist and stabilizer)</w:t>
      </w:r>
    </w:p>
    <w:p w14:paraId="128FA6AE" w14:textId="068F7DE9" w:rsidR="00B56BF7" w:rsidRPr="007466EF" w:rsidRDefault="00065E5B" w:rsidP="004953A2">
      <w:pPr>
        <w:spacing w:line="240" w:lineRule="auto"/>
        <w:rPr>
          <w:sz w:val="24"/>
          <w:szCs w:val="24"/>
          <w:highlight w:val="yellow"/>
        </w:rPr>
      </w:pPr>
      <w:r w:rsidRPr="007466EF">
        <w:rPr>
          <w:sz w:val="24"/>
          <w:szCs w:val="24"/>
          <w:highlight w:val="yellow"/>
        </w:rPr>
        <w:t xml:space="preserve">Works best for “benzo virgins” and it is not a PRN medication, great adjunct for </w:t>
      </w:r>
      <w:r w:rsidR="009517D4" w:rsidRPr="007466EF">
        <w:rPr>
          <w:sz w:val="24"/>
          <w:szCs w:val="24"/>
          <w:highlight w:val="yellow"/>
        </w:rPr>
        <w:t>SSRIs, in</w:t>
      </w:r>
      <w:r w:rsidR="00B56BF7" w:rsidRPr="007466EF">
        <w:rPr>
          <w:sz w:val="24"/>
          <w:szCs w:val="24"/>
          <w:highlight w:val="yellow"/>
        </w:rPr>
        <w:t xml:space="preserve"> high doses works well for smoking cessation, extremely short half-life, best dosing is every 8 hours, dosing will always be at least twice a day.</w:t>
      </w:r>
    </w:p>
    <w:p w14:paraId="49F688FC" w14:textId="3F62D65C" w:rsidR="00065E5B" w:rsidRPr="007466EF" w:rsidRDefault="00B56BF7" w:rsidP="004953A2">
      <w:pPr>
        <w:spacing w:line="240" w:lineRule="auto"/>
        <w:rPr>
          <w:sz w:val="24"/>
          <w:szCs w:val="24"/>
        </w:rPr>
      </w:pPr>
      <w:r w:rsidRPr="007466EF">
        <w:rPr>
          <w:sz w:val="24"/>
          <w:szCs w:val="24"/>
          <w:highlight w:val="yellow"/>
        </w:rPr>
        <w:t>Quirky side effects such as weight loss, possibly works on impulse control, Causes tummy aches in older population and should be taken with food.</w:t>
      </w:r>
      <w:r w:rsidRPr="007466EF">
        <w:rPr>
          <w:sz w:val="24"/>
          <w:szCs w:val="24"/>
        </w:rPr>
        <w:t xml:space="preserve"> </w:t>
      </w:r>
    </w:p>
    <w:p w14:paraId="4DC660E3" w14:textId="79C75E78" w:rsidR="00B56BF7" w:rsidRPr="007466EF" w:rsidRDefault="009517D4" w:rsidP="004953A2">
      <w:pPr>
        <w:spacing w:line="240" w:lineRule="auto"/>
        <w:rPr>
          <w:sz w:val="24"/>
          <w:szCs w:val="24"/>
        </w:rPr>
      </w:pPr>
      <w:r w:rsidRPr="007466EF">
        <w:rPr>
          <w:sz w:val="24"/>
          <w:szCs w:val="24"/>
        </w:rPr>
        <w:t>FDA approved for anxiety.</w:t>
      </w:r>
    </w:p>
    <w:p w14:paraId="70801E32" w14:textId="039EC7C6" w:rsidR="009517D4" w:rsidRPr="007466EF" w:rsidRDefault="009517D4" w:rsidP="004953A2">
      <w:pPr>
        <w:spacing w:line="240" w:lineRule="auto"/>
        <w:rPr>
          <w:sz w:val="24"/>
          <w:szCs w:val="24"/>
        </w:rPr>
      </w:pPr>
      <w:r w:rsidRPr="007466EF">
        <w:rPr>
          <w:sz w:val="24"/>
          <w:szCs w:val="24"/>
        </w:rPr>
        <w:t>Off Label:  Mixed anxiety and depression, adjunct for treatment resistant depression.</w:t>
      </w:r>
    </w:p>
    <w:p w14:paraId="7D62BABD" w14:textId="39A69A48" w:rsidR="009517D4" w:rsidRPr="007466EF" w:rsidRDefault="009517D4" w:rsidP="004953A2">
      <w:pPr>
        <w:spacing w:line="240" w:lineRule="auto"/>
        <w:rPr>
          <w:sz w:val="24"/>
          <w:szCs w:val="24"/>
        </w:rPr>
      </w:pPr>
      <w:r w:rsidRPr="007466EF">
        <w:rPr>
          <w:sz w:val="24"/>
          <w:szCs w:val="24"/>
        </w:rPr>
        <w:t>Dosing form:  Tablet 5 mg, 10 mg, 15 mg, 30 mg.</w:t>
      </w:r>
    </w:p>
    <w:p w14:paraId="477985D0" w14:textId="752997DD" w:rsidR="009517D4" w:rsidRPr="007466EF" w:rsidRDefault="009517D4" w:rsidP="004953A2">
      <w:pPr>
        <w:spacing w:line="240" w:lineRule="auto"/>
        <w:rPr>
          <w:sz w:val="24"/>
          <w:szCs w:val="24"/>
        </w:rPr>
      </w:pPr>
      <w:r w:rsidRPr="007466EF">
        <w:rPr>
          <w:sz w:val="24"/>
          <w:szCs w:val="24"/>
        </w:rPr>
        <w:t xml:space="preserve">Side effects:  dizziness, </w:t>
      </w:r>
      <w:r w:rsidR="00923969" w:rsidRPr="007466EF">
        <w:rPr>
          <w:sz w:val="24"/>
          <w:szCs w:val="24"/>
        </w:rPr>
        <w:t>headache, nervousness, sedation, nausea, restlessness.</w:t>
      </w:r>
    </w:p>
    <w:p w14:paraId="57B3EE3F" w14:textId="2CC7D58F" w:rsidR="00923969" w:rsidRPr="007466EF" w:rsidRDefault="00923969" w:rsidP="004953A2">
      <w:pPr>
        <w:spacing w:line="240" w:lineRule="auto"/>
        <w:rPr>
          <w:sz w:val="24"/>
          <w:szCs w:val="24"/>
        </w:rPr>
      </w:pPr>
    </w:p>
    <w:p w14:paraId="09588D4B" w14:textId="3741F6CB" w:rsidR="00923969" w:rsidRPr="007466EF" w:rsidRDefault="00923969" w:rsidP="004953A2">
      <w:pPr>
        <w:spacing w:line="240" w:lineRule="auto"/>
        <w:rPr>
          <w:sz w:val="24"/>
          <w:szCs w:val="24"/>
        </w:rPr>
      </w:pPr>
      <w:r w:rsidRPr="007466EF">
        <w:rPr>
          <w:b/>
          <w:bCs/>
          <w:sz w:val="24"/>
          <w:szCs w:val="24"/>
        </w:rPr>
        <w:t>Hydroxyzine (Atarax, Vistaril)-</w:t>
      </w:r>
      <w:r w:rsidRPr="007466EF">
        <w:rPr>
          <w:sz w:val="24"/>
          <w:szCs w:val="24"/>
        </w:rPr>
        <w:t xml:space="preserve"> antihistamine (anxiolytic, hypnotic, antiemetic)</w:t>
      </w:r>
    </w:p>
    <w:p w14:paraId="78A5962B" w14:textId="6E0C7FBF" w:rsidR="00923969" w:rsidRPr="007466EF" w:rsidRDefault="00923969" w:rsidP="004953A2">
      <w:pPr>
        <w:spacing w:line="240" w:lineRule="auto"/>
        <w:rPr>
          <w:sz w:val="24"/>
          <w:szCs w:val="24"/>
        </w:rPr>
      </w:pPr>
      <w:r w:rsidRPr="007466EF">
        <w:rPr>
          <w:sz w:val="24"/>
          <w:szCs w:val="24"/>
          <w:highlight w:val="yellow"/>
        </w:rPr>
        <w:t>Works well for anxiety accompanied with addictions, cousin to Benadryl, works for itching and anxiety with hives, hydroxyzine has different variations.</w:t>
      </w:r>
    </w:p>
    <w:p w14:paraId="708DAA4F" w14:textId="67C39FDB" w:rsidR="00923969" w:rsidRPr="007466EF" w:rsidRDefault="00E320D7" w:rsidP="004953A2">
      <w:pPr>
        <w:spacing w:line="240" w:lineRule="auto"/>
        <w:rPr>
          <w:sz w:val="24"/>
          <w:szCs w:val="24"/>
        </w:rPr>
      </w:pPr>
      <w:r w:rsidRPr="007466EF">
        <w:rPr>
          <w:sz w:val="24"/>
          <w:szCs w:val="24"/>
        </w:rPr>
        <w:t>FDA approved for anxiety and tension associated with psychoneurosis, pruritis due to allergic conditions, premedication sedation, anxiety withdrawal symptoms in alcoholics or patients with DTs, acute hysteria.</w:t>
      </w:r>
    </w:p>
    <w:p w14:paraId="56D88746" w14:textId="66B036F1" w:rsidR="00E320D7" w:rsidRPr="007466EF" w:rsidRDefault="00E320D7" w:rsidP="004953A2">
      <w:pPr>
        <w:spacing w:line="240" w:lineRule="auto"/>
        <w:rPr>
          <w:sz w:val="24"/>
          <w:szCs w:val="24"/>
        </w:rPr>
      </w:pPr>
      <w:r w:rsidRPr="007466EF">
        <w:rPr>
          <w:sz w:val="24"/>
          <w:szCs w:val="24"/>
        </w:rPr>
        <w:t>Off Label: Insomnia</w:t>
      </w:r>
    </w:p>
    <w:p w14:paraId="1138B935" w14:textId="0D3DCB46" w:rsidR="00E320D7" w:rsidRPr="007466EF" w:rsidRDefault="00E320D7" w:rsidP="004953A2">
      <w:pPr>
        <w:spacing w:line="240" w:lineRule="auto"/>
        <w:rPr>
          <w:sz w:val="24"/>
          <w:szCs w:val="24"/>
        </w:rPr>
      </w:pPr>
      <w:r w:rsidRPr="007466EF">
        <w:rPr>
          <w:sz w:val="24"/>
          <w:szCs w:val="24"/>
        </w:rPr>
        <w:t xml:space="preserve">Dosing form:  Tablet 10 mg, 25 mg, 50 mg.  Capsule 25 mg, 50 mg, 100 mg.  </w:t>
      </w:r>
      <w:r w:rsidR="00700A2E" w:rsidRPr="007466EF">
        <w:rPr>
          <w:sz w:val="24"/>
          <w:szCs w:val="24"/>
        </w:rPr>
        <w:t>Oral liquid 10 mg/5 mL.  Intramuscular 25 mg/mL, 50 mg/mL.</w:t>
      </w:r>
    </w:p>
    <w:p w14:paraId="16AC0364" w14:textId="225C8837" w:rsidR="00700A2E" w:rsidRPr="00065E5B" w:rsidRDefault="00700A2E" w:rsidP="004953A2">
      <w:pPr>
        <w:spacing w:line="240" w:lineRule="auto"/>
      </w:pPr>
      <w:r w:rsidRPr="007466EF">
        <w:rPr>
          <w:sz w:val="24"/>
          <w:szCs w:val="24"/>
        </w:rPr>
        <w:t>Side effects:  dry mouth, sedation, tremor. Rare bronchodilation, respiratory depression</w:t>
      </w:r>
      <w:r>
        <w:t>.</w:t>
      </w:r>
    </w:p>
    <w:sectPr w:rsidR="00700A2E" w:rsidRPr="00065E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C23A" w14:textId="77777777" w:rsidR="00004A33" w:rsidRDefault="00004A33" w:rsidP="00CC4AC8">
      <w:pPr>
        <w:spacing w:before="0" w:after="0" w:line="240" w:lineRule="auto"/>
      </w:pPr>
      <w:r>
        <w:separator/>
      </w:r>
    </w:p>
  </w:endnote>
  <w:endnote w:type="continuationSeparator" w:id="0">
    <w:p w14:paraId="709FFD81" w14:textId="77777777" w:rsidR="00004A33" w:rsidRDefault="00004A33" w:rsidP="00CC4A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DD80" w14:textId="77777777" w:rsidR="00004A33" w:rsidRDefault="00004A33" w:rsidP="00CC4AC8">
      <w:pPr>
        <w:spacing w:before="0" w:after="0" w:line="240" w:lineRule="auto"/>
      </w:pPr>
      <w:r>
        <w:separator/>
      </w:r>
    </w:p>
  </w:footnote>
  <w:footnote w:type="continuationSeparator" w:id="0">
    <w:p w14:paraId="37087905" w14:textId="77777777" w:rsidR="00004A33" w:rsidRDefault="00004A33" w:rsidP="00CC4A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8127"/>
      <w:docPartObj>
        <w:docPartGallery w:val="Page Numbers (Top of Page)"/>
        <w:docPartUnique/>
      </w:docPartObj>
    </w:sdtPr>
    <w:sdtEndPr>
      <w:rPr>
        <w:noProof/>
      </w:rPr>
    </w:sdtEndPr>
    <w:sdtContent>
      <w:p w14:paraId="60CFCD75" w14:textId="5A8395DE" w:rsidR="00CC4AC8" w:rsidRDefault="00CC4A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99C52C" w14:textId="77777777" w:rsidR="00CC4AC8" w:rsidRDefault="00CC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27"/>
    <w:multiLevelType w:val="multilevel"/>
    <w:tmpl w:val="9BB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83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B4"/>
    <w:rsid w:val="00004A33"/>
    <w:rsid w:val="000137BE"/>
    <w:rsid w:val="00065E5B"/>
    <w:rsid w:val="000E6713"/>
    <w:rsid w:val="00164279"/>
    <w:rsid w:val="00181F19"/>
    <w:rsid w:val="001C27C6"/>
    <w:rsid w:val="002F3D56"/>
    <w:rsid w:val="00337E22"/>
    <w:rsid w:val="00341510"/>
    <w:rsid w:val="003717B6"/>
    <w:rsid w:val="0037206F"/>
    <w:rsid w:val="00395F16"/>
    <w:rsid w:val="003A706B"/>
    <w:rsid w:val="003A7E13"/>
    <w:rsid w:val="00410BC5"/>
    <w:rsid w:val="004953A2"/>
    <w:rsid w:val="0050742B"/>
    <w:rsid w:val="0064712B"/>
    <w:rsid w:val="00700A2E"/>
    <w:rsid w:val="007466EF"/>
    <w:rsid w:val="00756073"/>
    <w:rsid w:val="00786D17"/>
    <w:rsid w:val="007872C6"/>
    <w:rsid w:val="008873C6"/>
    <w:rsid w:val="008C3F99"/>
    <w:rsid w:val="00916D2B"/>
    <w:rsid w:val="00923969"/>
    <w:rsid w:val="009517D4"/>
    <w:rsid w:val="009D7C6E"/>
    <w:rsid w:val="00A165A1"/>
    <w:rsid w:val="00A66726"/>
    <w:rsid w:val="00AF6B0D"/>
    <w:rsid w:val="00B10D0E"/>
    <w:rsid w:val="00B27457"/>
    <w:rsid w:val="00B547B4"/>
    <w:rsid w:val="00B56BF7"/>
    <w:rsid w:val="00B6679B"/>
    <w:rsid w:val="00BA75E6"/>
    <w:rsid w:val="00C14E09"/>
    <w:rsid w:val="00C627F1"/>
    <w:rsid w:val="00C710EE"/>
    <w:rsid w:val="00CC4AC8"/>
    <w:rsid w:val="00CF675E"/>
    <w:rsid w:val="00CF7F71"/>
    <w:rsid w:val="00DF5FF7"/>
    <w:rsid w:val="00E320D7"/>
    <w:rsid w:val="00E6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BA9A"/>
  <w15:chartTrackingRefBased/>
  <w15:docId w15:val="{A8816587-851B-4B8E-9322-06E51FCE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7B4"/>
    <w:pPr>
      <w:spacing w:line="240" w:lineRule="auto"/>
    </w:pPr>
    <w:rPr>
      <w:rFonts w:ascii="Times New Roman" w:eastAsia="Times New Roman" w:hAnsi="Times New Roman" w:cs="Times New Roman"/>
      <w:sz w:val="24"/>
      <w:szCs w:val="24"/>
    </w:rPr>
  </w:style>
  <w:style w:type="character" w:customStyle="1" w:styleId="hit">
    <w:name w:val="hit"/>
    <w:basedOn w:val="DefaultParagraphFont"/>
    <w:rsid w:val="00B547B4"/>
  </w:style>
  <w:style w:type="paragraph" w:styleId="Header">
    <w:name w:val="header"/>
    <w:basedOn w:val="Normal"/>
    <w:link w:val="HeaderChar"/>
    <w:uiPriority w:val="99"/>
    <w:unhideWhenUsed/>
    <w:rsid w:val="00CC4AC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C4AC8"/>
  </w:style>
  <w:style w:type="paragraph" w:styleId="Footer">
    <w:name w:val="footer"/>
    <w:basedOn w:val="Normal"/>
    <w:link w:val="FooterChar"/>
    <w:uiPriority w:val="99"/>
    <w:unhideWhenUsed/>
    <w:rsid w:val="00CC4AC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C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072">
      <w:bodyDiv w:val="1"/>
      <w:marLeft w:val="0"/>
      <w:marRight w:val="0"/>
      <w:marTop w:val="0"/>
      <w:marBottom w:val="0"/>
      <w:divBdr>
        <w:top w:val="none" w:sz="0" w:space="0" w:color="auto"/>
        <w:left w:val="none" w:sz="0" w:space="0" w:color="auto"/>
        <w:bottom w:val="none" w:sz="0" w:space="0" w:color="auto"/>
        <w:right w:val="none" w:sz="0" w:space="0" w:color="auto"/>
      </w:divBdr>
    </w:div>
    <w:div w:id="255941759">
      <w:bodyDiv w:val="1"/>
      <w:marLeft w:val="0"/>
      <w:marRight w:val="0"/>
      <w:marTop w:val="0"/>
      <w:marBottom w:val="0"/>
      <w:divBdr>
        <w:top w:val="none" w:sz="0" w:space="0" w:color="auto"/>
        <w:left w:val="none" w:sz="0" w:space="0" w:color="auto"/>
        <w:bottom w:val="none" w:sz="0" w:space="0" w:color="auto"/>
        <w:right w:val="none" w:sz="0" w:space="0" w:color="auto"/>
      </w:divBdr>
    </w:div>
    <w:div w:id="745613526">
      <w:bodyDiv w:val="1"/>
      <w:marLeft w:val="0"/>
      <w:marRight w:val="0"/>
      <w:marTop w:val="0"/>
      <w:marBottom w:val="0"/>
      <w:divBdr>
        <w:top w:val="none" w:sz="0" w:space="0" w:color="auto"/>
        <w:left w:val="none" w:sz="0" w:space="0" w:color="auto"/>
        <w:bottom w:val="none" w:sz="0" w:space="0" w:color="auto"/>
        <w:right w:val="none" w:sz="0" w:space="0" w:color="auto"/>
      </w:divBdr>
    </w:div>
    <w:div w:id="1269309556">
      <w:bodyDiv w:val="1"/>
      <w:marLeft w:val="0"/>
      <w:marRight w:val="0"/>
      <w:marTop w:val="0"/>
      <w:marBottom w:val="0"/>
      <w:divBdr>
        <w:top w:val="none" w:sz="0" w:space="0" w:color="auto"/>
        <w:left w:val="none" w:sz="0" w:space="0" w:color="auto"/>
        <w:bottom w:val="none" w:sz="0" w:space="0" w:color="auto"/>
        <w:right w:val="none" w:sz="0" w:space="0" w:color="auto"/>
      </w:divBdr>
    </w:div>
    <w:div w:id="1313022268">
      <w:bodyDiv w:val="1"/>
      <w:marLeft w:val="0"/>
      <w:marRight w:val="0"/>
      <w:marTop w:val="0"/>
      <w:marBottom w:val="0"/>
      <w:divBdr>
        <w:top w:val="none" w:sz="0" w:space="0" w:color="auto"/>
        <w:left w:val="none" w:sz="0" w:space="0" w:color="auto"/>
        <w:bottom w:val="none" w:sz="0" w:space="0" w:color="auto"/>
        <w:right w:val="none" w:sz="0" w:space="0" w:color="auto"/>
      </w:divBdr>
    </w:div>
    <w:div w:id="1326518259">
      <w:bodyDiv w:val="1"/>
      <w:marLeft w:val="0"/>
      <w:marRight w:val="0"/>
      <w:marTop w:val="0"/>
      <w:marBottom w:val="0"/>
      <w:divBdr>
        <w:top w:val="none" w:sz="0" w:space="0" w:color="auto"/>
        <w:left w:val="none" w:sz="0" w:space="0" w:color="auto"/>
        <w:bottom w:val="none" w:sz="0" w:space="0" w:color="auto"/>
        <w:right w:val="none" w:sz="0" w:space="0" w:color="auto"/>
      </w:divBdr>
    </w:div>
    <w:div w:id="1334409101">
      <w:bodyDiv w:val="1"/>
      <w:marLeft w:val="0"/>
      <w:marRight w:val="0"/>
      <w:marTop w:val="0"/>
      <w:marBottom w:val="0"/>
      <w:divBdr>
        <w:top w:val="none" w:sz="0" w:space="0" w:color="auto"/>
        <w:left w:val="none" w:sz="0" w:space="0" w:color="auto"/>
        <w:bottom w:val="none" w:sz="0" w:space="0" w:color="auto"/>
        <w:right w:val="none" w:sz="0" w:space="0" w:color="auto"/>
      </w:divBdr>
    </w:div>
    <w:div w:id="1487360414">
      <w:bodyDiv w:val="1"/>
      <w:marLeft w:val="0"/>
      <w:marRight w:val="0"/>
      <w:marTop w:val="0"/>
      <w:marBottom w:val="0"/>
      <w:divBdr>
        <w:top w:val="none" w:sz="0" w:space="0" w:color="auto"/>
        <w:left w:val="none" w:sz="0" w:space="0" w:color="auto"/>
        <w:bottom w:val="none" w:sz="0" w:space="0" w:color="auto"/>
        <w:right w:val="none" w:sz="0" w:space="0" w:color="auto"/>
      </w:divBdr>
    </w:div>
    <w:div w:id="21113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6</cp:revision>
  <dcterms:created xsi:type="dcterms:W3CDTF">2022-06-19T22:15:00Z</dcterms:created>
  <dcterms:modified xsi:type="dcterms:W3CDTF">2022-06-20T03:35:00Z</dcterms:modified>
</cp:coreProperties>
</file>